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66" w:rsidRDefault="00371866" w:rsidP="00371866">
      <w:pPr>
        <w:pStyle w:val="Corpotesto"/>
        <w:tabs>
          <w:tab w:val="left" w:pos="2870"/>
        </w:tabs>
        <w:rPr>
          <w:sz w:val="16"/>
          <w:szCs w:val="16"/>
        </w:rPr>
      </w:pPr>
    </w:p>
    <w:p w:rsidR="00371866" w:rsidRDefault="00371866" w:rsidP="00371866">
      <w:pPr>
        <w:pStyle w:val="Didascalia"/>
        <w:spacing w:line="240" w:lineRule="auto"/>
        <w:jc w:val="right"/>
        <w:outlineLvl w:val="0"/>
        <w:rPr>
          <w:rFonts w:ascii="Maiandra GD" w:hAnsi="Maiandra GD"/>
          <w:bCs w:val="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/>
          <w:bCs w:val="0"/>
          <w:spacing w:val="34"/>
          <w:sz w:val="16"/>
          <w:szCs w:val="16"/>
        </w:rPr>
        <w:t xml:space="preserve">Istituto Comprensivo di Barzanò </w:t>
      </w:r>
    </w:p>
    <w:p w:rsidR="00371866" w:rsidRDefault="00371866" w:rsidP="00371866">
      <w:pPr>
        <w:pStyle w:val="Titolo8"/>
        <w:spacing w:before="0" w:after="0" w:line="240" w:lineRule="auto"/>
        <w:jc w:val="right"/>
        <w:rPr>
          <w:rFonts w:ascii="Maiandra GD" w:hAnsi="Maiandra GD"/>
          <w:b/>
          <w:i/>
          <w:iCs w:val="0"/>
          <w:sz w:val="16"/>
          <w:szCs w:val="16"/>
        </w:rPr>
      </w:pP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  <w:t>SEDE: Via Leonardo da Vinci, 22 – 23891 Barzanò (Lecco)</w:t>
      </w:r>
      <w:r>
        <w:rPr>
          <w:rFonts w:ascii="Maiandra GD" w:hAnsi="Maiandra GD"/>
          <w:i/>
          <w:sz w:val="16"/>
          <w:szCs w:val="16"/>
        </w:rPr>
        <w:t xml:space="preserve"> </w:t>
      </w:r>
    </w:p>
    <w:p w:rsidR="00371866" w:rsidRDefault="00371866" w:rsidP="00371866">
      <w:pPr>
        <w:pStyle w:val="Titolo8"/>
        <w:spacing w:before="0" w:after="0" w:line="240" w:lineRule="auto"/>
        <w:jc w:val="right"/>
        <w:rPr>
          <w:rFonts w:ascii="Maiandra GD" w:hAnsi="Maiandra GD"/>
          <w:b/>
          <w:i/>
          <w:iCs w:val="0"/>
          <w:sz w:val="16"/>
          <w:szCs w:val="16"/>
          <w:lang w:val="en-US"/>
        </w:rPr>
      </w:pPr>
      <w:r>
        <w:rPr>
          <w:rFonts w:ascii="Maiandra GD" w:hAnsi="Maiandra GD"/>
          <w:i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i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i/>
          <w:sz w:val="16"/>
          <w:szCs w:val="16"/>
          <w:lang w:val="en-GB"/>
        </w:rPr>
        <w:t xml:space="preserve">. </w:t>
      </w:r>
      <w:r>
        <w:rPr>
          <w:rFonts w:ascii="Maiandra GD" w:hAnsi="Maiandra GD"/>
          <w:i/>
          <w:sz w:val="16"/>
          <w:szCs w:val="16"/>
          <w:lang w:val="fr-FR"/>
        </w:rPr>
        <w:t>Min. LCIC80800X</w:t>
      </w:r>
    </w:p>
    <w:p w:rsidR="00371866" w:rsidRDefault="00371866" w:rsidP="00371866">
      <w:pPr>
        <w:spacing w:after="0" w:line="240" w:lineRule="auto"/>
        <w:jc w:val="right"/>
        <w:rPr>
          <w:rFonts w:ascii="Maiandra GD" w:hAnsi="Maiandra GD"/>
          <w:sz w:val="16"/>
          <w:szCs w:val="16"/>
          <w:lang w:val="fr-FR"/>
        </w:rPr>
      </w:pPr>
      <w:r>
        <w:rPr>
          <w:rFonts w:ascii="Maiandra GD" w:hAnsi="Maiandra GD"/>
          <w:sz w:val="16"/>
          <w:szCs w:val="16"/>
          <w:lang w:val="fr-FR"/>
        </w:rPr>
        <w:t xml:space="preserve"> Tel. 039.955044 / 039.9272537 - Fax 039.9287473 </w:t>
      </w:r>
    </w:p>
    <w:p w:rsidR="00371866" w:rsidRDefault="00371866" w:rsidP="00371866">
      <w:pPr>
        <w:spacing w:after="0" w:line="240" w:lineRule="auto"/>
        <w:jc w:val="right"/>
        <w:rPr>
          <w:rFonts w:ascii="Maiandra GD" w:hAnsi="Maiandra GD"/>
          <w:sz w:val="16"/>
          <w:szCs w:val="16"/>
          <w:lang w:val="fr-FR"/>
        </w:rPr>
      </w:pPr>
      <w:r>
        <w:rPr>
          <w:rFonts w:ascii="Maiandra GD" w:hAnsi="Maiandra GD"/>
          <w:sz w:val="16"/>
          <w:szCs w:val="16"/>
          <w:lang w:val="fr-FR"/>
        </w:rPr>
        <w:t>e-</w:t>
      </w:r>
      <w:proofErr w:type="gramStart"/>
      <w:r>
        <w:rPr>
          <w:rFonts w:ascii="Maiandra GD" w:hAnsi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/>
          <w:sz w:val="16"/>
          <w:szCs w:val="16"/>
          <w:lang w:val="fr-FR"/>
        </w:rPr>
        <w:t xml:space="preserve"> </w:t>
      </w:r>
      <w:r>
        <w:rPr>
          <w:rFonts w:ascii="Maiandra GD" w:hAnsi="Maiandra GD"/>
          <w:i/>
          <w:iCs/>
          <w:sz w:val="16"/>
          <w:szCs w:val="16"/>
          <w:lang w:val="fr-FR"/>
        </w:rPr>
        <w:t>lcic80800x@istruzione.it</w:t>
      </w:r>
      <w:bookmarkEnd w:id="0"/>
      <w:r>
        <w:rPr>
          <w:noProof/>
          <w:lang w:eastAsia="it-IT"/>
        </w:rPr>
        <w:drawing>
          <wp:inline distT="0" distB="0" distL="0" distR="0">
            <wp:extent cx="6105525" cy="38100"/>
            <wp:effectExtent l="0" t="0" r="9525" b="0"/>
            <wp:docPr id="1" name="Immagine 1" descr="BD14845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866" w:rsidRDefault="00371866" w:rsidP="00371866">
      <w:pPr>
        <w:pStyle w:val="Corpotesto"/>
        <w:tabs>
          <w:tab w:val="left" w:pos="2870"/>
        </w:tabs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Prot</w:t>
      </w:r>
      <w:proofErr w:type="spellEnd"/>
      <w:r>
        <w:rPr>
          <w:sz w:val="22"/>
          <w:szCs w:val="22"/>
          <w:lang w:val="fr-FR"/>
        </w:rPr>
        <w:t xml:space="preserve">. N. 2439/A02 </w:t>
      </w:r>
      <w:proofErr w:type="spellStart"/>
      <w:r>
        <w:rPr>
          <w:sz w:val="22"/>
          <w:szCs w:val="22"/>
          <w:lang w:val="fr-FR"/>
        </w:rPr>
        <w:t>del</w:t>
      </w:r>
      <w:proofErr w:type="spellEnd"/>
      <w:r>
        <w:rPr>
          <w:sz w:val="22"/>
          <w:szCs w:val="22"/>
          <w:lang w:val="fr-FR"/>
        </w:rPr>
        <w:t xml:space="preserve"> 15/04/2019</w:t>
      </w: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REGOLAMENTO / ISTRUZIONE OPERATIVA PER IL FUNZIONAMENTO DEL COMITATO DI VALUTAZIONE per l’attribuzione del merito e la valorizzazione della funzione docente.</w:t>
      </w: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32"/>
          <w:szCs w:val="32"/>
        </w:rPr>
      </w:pP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32"/>
          <w:szCs w:val="32"/>
        </w:rPr>
      </w:pPr>
    </w:p>
    <w:p w:rsidR="00371866" w:rsidRDefault="00371866" w:rsidP="00371866">
      <w:pPr>
        <w:spacing w:after="0" w:line="240" w:lineRule="auto"/>
        <w:jc w:val="lef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Art.1 COMPOSIZIONE</w:t>
      </w:r>
    </w:p>
    <w:p w:rsidR="00371866" w:rsidRDefault="00371866" w:rsidP="00371866">
      <w:pPr>
        <w:spacing w:after="0" w:line="240" w:lineRule="auto"/>
        <w:jc w:val="left"/>
        <w:rPr>
          <w:rFonts w:cs="Times New Roman"/>
          <w:b/>
          <w:bCs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Come da Legge 107/15, comma 129, in sostituzione dell’articolo 11 del testo unico di cui al decreto legislativo 16 aprile 1994, n. 297: </w:t>
      </w: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«Art. 11. </w:t>
      </w:r>
      <w:r>
        <w:rPr>
          <w:rFonts w:ascii="Cambria Math" w:hAnsi="Cambria Math" w:cs="Cambria Math"/>
          <w:sz w:val="22"/>
          <w:szCs w:val="22"/>
        </w:rPr>
        <w:t>‐‐</w:t>
      </w:r>
      <w:r>
        <w:rPr>
          <w:rFonts w:cs="Times New Roman"/>
          <w:sz w:val="22"/>
          <w:szCs w:val="22"/>
        </w:rPr>
        <w:t> (Comitato per la valutazione dei docenti).   Presso ogni istituzione scolastica ed educativa è istituito, senza nuovi o maggiori oneri per la finanza pubblica, il comitato per la valutazione dei docenti. 2. Il comitato ha durata di tre anni scolastici, è presieduto dal dirigente scolastico ed è costituito dai seguenti componenti: a) tre docenti dell'istituzione scolastica, di cui due scelti dal collegio dei docenti e uno dal consiglio di istituto; b) due rappresentanti dei genitori, per la scuola dell’infanzia e per il primo ciclo di istruzione (Omissis), scelti dal consiglio di istituto; c) un componente esterno individuato dall'Ufficio scolastico regionale (Omissis).”</w:t>
      </w: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Art. 2 MANDATO ISTITUZIONALE</w:t>
      </w: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La legge 107/15 istituisce il Comitato  con il compito istituzionale di individuare i criteri per l’attribuzione del merito docenti, come da art. 129: “Il comitato individua i criteri per la valorizzazione dei docenti sulla base: a) della qualità dell'insegnamento e del contributo al miglioramento dell'istituzione scolastica, nonché del successo formativo e scolastico degli studenti; b) dei risultati ottenuti dal docente o dal gruppo di docenti in relazione al potenziamento delle competenze degli alunni e dell'innovazione didattica e metodologica, nonché della collaborazione alla ricerca didattica, alla documentazione e alla diffusione di buone pratiche didattiche; c) delle responsabilità assunte nel coordinamento organizzativo e didattico e nella formazione del personale”.</w:t>
      </w: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Tali criteri saranno varati entro il mese di maggio per </w:t>
      </w:r>
      <w:proofErr w:type="spellStart"/>
      <w:r>
        <w:rPr>
          <w:rFonts w:cs="Times New Roman"/>
          <w:sz w:val="22"/>
          <w:szCs w:val="22"/>
        </w:rPr>
        <w:t>l’a.s.</w:t>
      </w:r>
      <w:proofErr w:type="spellEnd"/>
      <w:r>
        <w:rPr>
          <w:rFonts w:cs="Times New Roman"/>
          <w:sz w:val="22"/>
          <w:szCs w:val="22"/>
        </w:rPr>
        <w:t xml:space="preserve"> 2018/19 e entro il 31 gennaio di ogni anno successivo in caso di richiesta di revisione per intervenute modifiche e/o su richiesta del DS e/o del 50% più un membro del Comitato stesso.</w:t>
      </w: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Art. 3 CONVOCAZIONE </w:t>
      </w: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Il Comitato di Valutazione viene convocato con atto formale del Dirigente scolastico, che lo presiede, almeno 5 giorni prima della data individuata con l’indicazione dell’o.d.g., sentito il componente esterno individuato dall'Ufficio scolastico regionale. Le riunioni vengono verbalizzate. Allo scopo, viene individuato un segretario. </w:t>
      </w: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Art. 4 VALIDITA’ DELLE SESSIONI DI LAVORO</w:t>
      </w: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In quanto organo non perfetto, le sessioni di lavoro del </w:t>
      </w:r>
      <w:proofErr w:type="spellStart"/>
      <w:r>
        <w:rPr>
          <w:rFonts w:cs="Times New Roman"/>
          <w:sz w:val="22"/>
          <w:szCs w:val="22"/>
        </w:rPr>
        <w:t>CdV</w:t>
      </w:r>
      <w:proofErr w:type="spellEnd"/>
      <w:r>
        <w:rPr>
          <w:rFonts w:cs="Times New Roman"/>
          <w:sz w:val="22"/>
          <w:szCs w:val="22"/>
        </w:rPr>
        <w:t xml:space="preserve"> sono valide alla presenza della maggioranza dei membri di diritto e le decisioni sono assunte a maggioranza dei voti validamente espressi. In caso di parità, prevale il voto del Presidente. </w:t>
      </w: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Art. 5 SURROGHE E SOSTITUZIONI</w:t>
      </w: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In caso di decadenza, trasferimento, rinuncia o dimissioni dei membri del </w:t>
      </w:r>
      <w:proofErr w:type="spellStart"/>
      <w:r>
        <w:rPr>
          <w:rFonts w:cs="Times New Roman"/>
          <w:sz w:val="22"/>
          <w:szCs w:val="22"/>
        </w:rPr>
        <w:t>CdV</w:t>
      </w:r>
      <w:proofErr w:type="spellEnd"/>
      <w:r>
        <w:rPr>
          <w:rFonts w:cs="Times New Roman"/>
          <w:sz w:val="22"/>
          <w:szCs w:val="22"/>
        </w:rPr>
        <w:t xml:space="preserve">, ci si atterrà alle eventuali note esplicative del MIUR per le surroghe del caso, fatto comunque salvo il principio della legittimità delle elezioni da parte degli organismi </w:t>
      </w:r>
      <w:proofErr w:type="gramStart"/>
      <w:r>
        <w:rPr>
          <w:rFonts w:cs="Times New Roman"/>
          <w:sz w:val="22"/>
          <w:szCs w:val="22"/>
        </w:rPr>
        <w:t>preposti  -</w:t>
      </w:r>
      <w:proofErr w:type="gramEnd"/>
      <w:r>
        <w:rPr>
          <w:rFonts w:cs="Times New Roman"/>
          <w:sz w:val="22"/>
          <w:szCs w:val="22"/>
        </w:rPr>
        <w:t xml:space="preserve"> come da Legge 107/15 comma 129  - e la legittimità delle riunioni la cui validità è espressa dalla presenza della maggioranza degli aventi diritto non decaduti.</w:t>
      </w: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Art. 6 DEFINIZIONE DEI CRITERI DI VALORIZZAZIONE DELLA FUNZIONE DOCENTE</w:t>
      </w: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Il </w:t>
      </w:r>
      <w:proofErr w:type="spellStart"/>
      <w:r>
        <w:rPr>
          <w:rFonts w:cs="Times New Roman"/>
          <w:sz w:val="22"/>
          <w:szCs w:val="22"/>
        </w:rPr>
        <w:t>CdV</w:t>
      </w:r>
      <w:proofErr w:type="spellEnd"/>
      <w:r>
        <w:rPr>
          <w:rFonts w:cs="Times New Roman"/>
          <w:sz w:val="22"/>
          <w:szCs w:val="22"/>
        </w:rPr>
        <w:t xml:space="preserve"> definisce i criteri di valorizzazione della funzione docente alla luce del dettato normativo, del POF, del </w:t>
      </w:r>
      <w:proofErr w:type="spellStart"/>
      <w:r>
        <w:rPr>
          <w:rFonts w:cs="Times New Roman"/>
          <w:sz w:val="22"/>
          <w:szCs w:val="22"/>
        </w:rPr>
        <w:t>PdM</w:t>
      </w:r>
      <w:proofErr w:type="spellEnd"/>
      <w:r>
        <w:rPr>
          <w:rFonts w:cs="Times New Roman"/>
          <w:sz w:val="22"/>
          <w:szCs w:val="22"/>
        </w:rPr>
        <w:t xml:space="preserve"> e del PTOF di Istituto. I criteri sono rivedibili su richiesta motivata del Ds e/o della maggioranza dei membri validamente eletti nel comitato.</w:t>
      </w: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 prerequisiti per la valorizzazione del ruolo docente sono individuati nei seguenti: </w:t>
      </w:r>
    </w:p>
    <w:p w:rsidR="00371866" w:rsidRDefault="00371866" w:rsidP="00371866">
      <w:pPr>
        <w:numPr>
          <w:ilvl w:val="0"/>
          <w:numId w:val="1"/>
        </w:num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Contratto a tempo indeterminato;</w:t>
      </w:r>
    </w:p>
    <w:p w:rsidR="00371866" w:rsidRDefault="00371866" w:rsidP="00371866">
      <w:pPr>
        <w:numPr>
          <w:ilvl w:val="0"/>
          <w:numId w:val="1"/>
        </w:num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Orario di servizio non inferiore alla metà dell’orario di cattedra;</w:t>
      </w:r>
    </w:p>
    <w:p w:rsidR="00371866" w:rsidRDefault="00371866" w:rsidP="00371866">
      <w:pPr>
        <w:numPr>
          <w:ilvl w:val="0"/>
          <w:numId w:val="1"/>
        </w:num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Assenza di azioni disciplinari in corso e/o sanzioni erogate </w:t>
      </w:r>
      <w:proofErr w:type="spellStart"/>
      <w:r>
        <w:rPr>
          <w:rFonts w:cs="Times New Roman"/>
          <w:sz w:val="22"/>
          <w:szCs w:val="22"/>
        </w:rPr>
        <w:t>nell’a.s.</w:t>
      </w:r>
      <w:proofErr w:type="spellEnd"/>
      <w:r>
        <w:rPr>
          <w:rFonts w:cs="Times New Roman"/>
          <w:sz w:val="22"/>
          <w:szCs w:val="22"/>
        </w:rPr>
        <w:t xml:space="preserve"> di riferimento;</w:t>
      </w:r>
    </w:p>
    <w:p w:rsidR="00371866" w:rsidRDefault="00371866" w:rsidP="00371866">
      <w:pPr>
        <w:numPr>
          <w:ilvl w:val="0"/>
          <w:numId w:val="1"/>
        </w:num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Presenza in servizio per un congruo numero di giorni (90%);</w:t>
      </w:r>
    </w:p>
    <w:p w:rsidR="00371866" w:rsidRDefault="00371866" w:rsidP="00371866">
      <w:pPr>
        <w:numPr>
          <w:ilvl w:val="0"/>
          <w:numId w:val="1"/>
        </w:num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Partecipazione ad attività di formazione didattico-metodologica</w:t>
      </w:r>
    </w:p>
    <w:p w:rsidR="00371866" w:rsidRDefault="00371866" w:rsidP="00371866">
      <w:pPr>
        <w:spacing w:after="0" w:line="240" w:lineRule="auto"/>
        <w:ind w:left="1080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La </w:t>
      </w:r>
      <w:proofErr w:type="spellStart"/>
      <w:r>
        <w:rPr>
          <w:rFonts w:cs="Times New Roman"/>
          <w:sz w:val="22"/>
          <w:szCs w:val="22"/>
        </w:rPr>
        <w:t>premialità</w:t>
      </w:r>
      <w:proofErr w:type="spellEnd"/>
      <w:r>
        <w:rPr>
          <w:rFonts w:cs="Times New Roman"/>
          <w:sz w:val="22"/>
          <w:szCs w:val="22"/>
        </w:rPr>
        <w:t xml:space="preserve"> viene individuata nella applicabilità di almeno 2 dei tre ambiti previsti dalla normativa vigente (LEGGE 107/15: QUALITA’ – RISULTATI OTTENUTI - RESPONSABILITA’ ASSUNTE NEL COORDINAMENTO ORGANIZZATIVO).</w:t>
      </w: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Verrà valorizzata una percentuale di docenti compresa tra il 20 e il 30 %. </w:t>
      </w: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Per </w:t>
      </w:r>
      <w:proofErr w:type="spellStart"/>
      <w:r>
        <w:rPr>
          <w:rFonts w:cs="Times New Roman"/>
          <w:sz w:val="22"/>
          <w:szCs w:val="22"/>
        </w:rPr>
        <w:t>l’a.s.</w:t>
      </w:r>
      <w:proofErr w:type="spellEnd"/>
      <w:r>
        <w:rPr>
          <w:rFonts w:cs="Times New Roman"/>
          <w:sz w:val="22"/>
          <w:szCs w:val="22"/>
        </w:rPr>
        <w:t xml:space="preserve"> 2018/2019 il Bonus verrà distribuito in 3 fasce definite in ordine di punteggio. </w:t>
      </w: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Art. 7 RACCOLTA DATI</w:t>
      </w: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Si ritiene opportuna la raccolta degli elementi valutativi alla luce dei criteri declinati in indicatori attraverso una scheda /format condivisa la cui compilazione viene - previo comunicato specifico del DS – richiesta direttamente ai docenti. </w:t>
      </w: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Ciò comporta la precisazione ai docenti del fatto </w:t>
      </w:r>
    </w:p>
    <w:p w:rsidR="00371866" w:rsidRDefault="00371866" w:rsidP="00371866">
      <w:pPr>
        <w:numPr>
          <w:ilvl w:val="0"/>
          <w:numId w:val="2"/>
        </w:numPr>
        <w:spacing w:after="0" w:line="240" w:lineRule="auto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che</w:t>
      </w:r>
      <w:proofErr w:type="gramEnd"/>
      <w:r>
        <w:rPr>
          <w:rFonts w:cs="Times New Roman"/>
          <w:sz w:val="22"/>
          <w:szCs w:val="22"/>
        </w:rPr>
        <w:t xml:space="preserve"> le dichiarazioni mendaci rappresentano falso in atto pubblico e tutte le dichiarazioni devono essere documentabili/verificabili;</w:t>
      </w:r>
    </w:p>
    <w:p w:rsidR="00371866" w:rsidRDefault="00371866" w:rsidP="00371866">
      <w:pPr>
        <w:numPr>
          <w:ilvl w:val="0"/>
          <w:numId w:val="2"/>
        </w:numPr>
        <w:spacing w:after="0" w:line="240" w:lineRule="auto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tali</w:t>
      </w:r>
      <w:proofErr w:type="gramEnd"/>
      <w:r>
        <w:rPr>
          <w:rFonts w:cs="Times New Roman"/>
          <w:sz w:val="22"/>
          <w:szCs w:val="22"/>
        </w:rPr>
        <w:t xml:space="preserve"> dichiarazioni non escludono, anzi casomai indirizzano, il controllo del DS,  cui spetta l’attribuzione del bonus alla luce di criteri stabiliti dal Comitato;</w:t>
      </w:r>
    </w:p>
    <w:p w:rsidR="00371866" w:rsidRDefault="00371866" w:rsidP="00371866">
      <w:pPr>
        <w:numPr>
          <w:ilvl w:val="0"/>
          <w:numId w:val="2"/>
        </w:numPr>
        <w:spacing w:after="0" w:line="240" w:lineRule="auto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che</w:t>
      </w:r>
      <w:proofErr w:type="gramEnd"/>
      <w:r>
        <w:rPr>
          <w:rFonts w:cs="Times New Roman"/>
          <w:sz w:val="22"/>
          <w:szCs w:val="22"/>
        </w:rPr>
        <w:t xml:space="preserve"> alcuni indicatori possono essere di mera pertinenza del DS in termini di attribuzione alla luce della loro </w:t>
      </w:r>
      <w:proofErr w:type="spellStart"/>
      <w:r>
        <w:rPr>
          <w:rFonts w:cs="Times New Roman"/>
          <w:sz w:val="22"/>
          <w:szCs w:val="22"/>
        </w:rPr>
        <w:t>documentabilità</w:t>
      </w:r>
      <w:proofErr w:type="spellEnd"/>
      <w:r>
        <w:rPr>
          <w:rFonts w:cs="Times New Roman"/>
          <w:sz w:val="22"/>
          <w:szCs w:val="22"/>
        </w:rPr>
        <w:t>.</w:t>
      </w: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Art. 8 REVISIONE DEL REGOLAMENTO</w:t>
      </w:r>
    </w:p>
    <w:p w:rsidR="00371866" w:rsidRDefault="00371866" w:rsidP="00371866">
      <w:pPr>
        <w:spacing w:after="0" w:line="240" w:lineRule="auto"/>
        <w:rPr>
          <w:rFonts w:cs="Times New Roman"/>
          <w:b/>
          <w:bCs/>
          <w:sz w:val="22"/>
          <w:szCs w:val="22"/>
        </w:rPr>
      </w:pP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 presente regolamento è rivedibile su richiesta motivata del Ds e/o della maggioranza dei membri facenti parte.</w:t>
      </w: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 Comitato si riunirà comunque nei primi mesi del prossimo anno per una valutazione dei risultati.</w:t>
      </w:r>
    </w:p>
    <w:p w:rsidR="00371866" w:rsidRDefault="00371866" w:rsidP="00371866">
      <w:pPr>
        <w:spacing w:after="0" w:line="240" w:lineRule="auto"/>
        <w:rPr>
          <w:rFonts w:cs="Times New Roman"/>
          <w:sz w:val="22"/>
          <w:szCs w:val="22"/>
        </w:rPr>
      </w:pPr>
    </w:p>
    <w:p w:rsidR="00371866" w:rsidRDefault="00371866" w:rsidP="0037186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Il Comitato di Valutazione</w:t>
      </w:r>
    </w:p>
    <w:p w:rsidR="001E60FE" w:rsidRDefault="001E60FE">
      <w:bookmarkStart w:id="1" w:name="_GoBack"/>
      <w:bookmarkEnd w:id="1"/>
    </w:p>
    <w:sectPr w:rsidR="001E60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751AA"/>
    <w:multiLevelType w:val="hybridMultilevel"/>
    <w:tmpl w:val="638437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7BC4882"/>
    <w:multiLevelType w:val="hybridMultilevel"/>
    <w:tmpl w:val="E1482F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50"/>
    <w:rsid w:val="001E60FE"/>
    <w:rsid w:val="00371866"/>
    <w:rsid w:val="00E0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9DF4C7-4DFE-4616-87EB-19679D14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866"/>
    <w:pPr>
      <w:spacing w:after="200" w:line="36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371866"/>
    <w:pPr>
      <w:spacing w:before="240" w:after="60"/>
      <w:jc w:val="left"/>
      <w:outlineLvl w:val="7"/>
    </w:pPr>
    <w:rPr>
      <w:rFonts w:asciiTheme="minorHAnsi" w:hAnsiTheme="minorHAnsi"/>
      <w:i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371866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371866"/>
    <w:pPr>
      <w:spacing w:after="0"/>
      <w:jc w:val="left"/>
    </w:pPr>
    <w:rPr>
      <w:rFonts w:eastAsia="Times New Roman" w:cs="Times New Roman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371866"/>
    <w:pPr>
      <w:spacing w:after="0" w:line="240" w:lineRule="auto"/>
    </w:pPr>
    <w:rPr>
      <w:rFonts w:eastAsia="Times New Roman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71866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9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2019-04-17T09:30:00Z</dcterms:created>
  <dcterms:modified xsi:type="dcterms:W3CDTF">2019-04-17T09:31:00Z</dcterms:modified>
</cp:coreProperties>
</file>